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33" w:rsidRPr="00D104FD" w:rsidRDefault="00393133" w:rsidP="00393133">
      <w:pPr>
        <w:spacing w:line="240" w:lineRule="auto"/>
        <w:jc w:val="center"/>
        <w:rPr>
          <w:rStyle w:val="lev"/>
          <w:rFonts w:ascii="Adobe Arabic" w:hAnsi="Adobe Arabic" w:cs="Adobe Arabic"/>
          <w:sz w:val="32"/>
          <w:szCs w:val="32"/>
        </w:rPr>
      </w:pPr>
      <w:bookmarkStart w:id="0" w:name="_GoBack"/>
      <w:bookmarkEnd w:id="0"/>
      <w:r w:rsidRPr="00D104FD">
        <w:rPr>
          <w:rStyle w:val="lev"/>
          <w:rFonts w:ascii="Adobe Arabic" w:hAnsi="Adobe Arabic" w:cs="Adobe Arabic"/>
          <w:sz w:val="32"/>
          <w:szCs w:val="32"/>
        </w:rPr>
        <w:t>République Tunisienne</w:t>
      </w:r>
    </w:p>
    <w:p w:rsidR="00393133" w:rsidRPr="00D104FD" w:rsidRDefault="00393133" w:rsidP="00393133">
      <w:pPr>
        <w:spacing w:line="240" w:lineRule="auto"/>
        <w:jc w:val="center"/>
        <w:rPr>
          <w:rStyle w:val="lev"/>
          <w:rFonts w:ascii="Adobe Arabic" w:hAnsi="Adobe Arabic" w:cs="Adobe Arabic"/>
          <w:b w:val="0"/>
          <w:bCs w:val="0"/>
          <w:sz w:val="32"/>
          <w:szCs w:val="32"/>
        </w:rPr>
      </w:pPr>
      <w:r w:rsidRPr="00D104FD">
        <w:rPr>
          <w:rStyle w:val="lev"/>
          <w:rFonts w:ascii="Adobe Arabic" w:hAnsi="Adobe Arabic" w:cs="Adobe Arabic"/>
          <w:b w:val="0"/>
          <w:bCs w:val="0"/>
          <w:sz w:val="32"/>
          <w:szCs w:val="32"/>
        </w:rPr>
        <w:t xml:space="preserve">Ministère de l’Enseignement Supérieur </w:t>
      </w:r>
    </w:p>
    <w:p w:rsidR="00393133" w:rsidRPr="00D104FD" w:rsidRDefault="00393133" w:rsidP="00393133">
      <w:pPr>
        <w:spacing w:line="240" w:lineRule="auto"/>
        <w:jc w:val="center"/>
        <w:rPr>
          <w:rStyle w:val="lev"/>
          <w:rFonts w:ascii="Adobe Arabic" w:hAnsi="Adobe Arabic" w:cs="Adobe Arabic"/>
          <w:b w:val="0"/>
          <w:bCs w:val="0"/>
          <w:sz w:val="32"/>
          <w:szCs w:val="32"/>
        </w:rPr>
      </w:pPr>
      <w:r w:rsidRPr="00D104FD">
        <w:rPr>
          <w:rStyle w:val="lev"/>
          <w:rFonts w:ascii="Adobe Arabic" w:hAnsi="Adobe Arabic" w:cs="Adobe Arabic"/>
          <w:b w:val="0"/>
          <w:bCs w:val="0"/>
          <w:sz w:val="32"/>
          <w:szCs w:val="32"/>
        </w:rPr>
        <w:t>et de la Recherche Scientifique</w:t>
      </w:r>
    </w:p>
    <w:p w:rsidR="00393133" w:rsidRPr="00D104FD" w:rsidRDefault="00393133" w:rsidP="00393133">
      <w:pPr>
        <w:spacing w:line="240" w:lineRule="auto"/>
        <w:jc w:val="center"/>
        <w:rPr>
          <w:rStyle w:val="lev"/>
          <w:rFonts w:ascii="Adobe Arabic" w:hAnsi="Adobe Arabic" w:cs="Adobe Arabic"/>
          <w:sz w:val="32"/>
          <w:szCs w:val="32"/>
        </w:rPr>
      </w:pPr>
      <w:r w:rsidRPr="00D104FD">
        <w:rPr>
          <w:rStyle w:val="lev"/>
          <w:rFonts w:ascii="Adobe Arabic" w:hAnsi="Adobe Arabic" w:cs="Adobe Arabic"/>
          <w:sz w:val="32"/>
          <w:szCs w:val="32"/>
        </w:rPr>
        <w:t>Université de Sousse</w:t>
      </w:r>
    </w:p>
    <w:p w:rsidR="00393133" w:rsidRPr="008C303E" w:rsidRDefault="00393133" w:rsidP="0064685E">
      <w:pPr>
        <w:spacing w:line="240" w:lineRule="auto"/>
        <w:jc w:val="center"/>
        <w:rPr>
          <w:rStyle w:val="lev"/>
          <w:rFonts w:ascii="Adobe Arabic" w:hAnsi="Adobe Arabic" w:cs="Adobe Arabic"/>
          <w:sz w:val="36"/>
          <w:szCs w:val="36"/>
        </w:rPr>
      </w:pPr>
      <w:r w:rsidRPr="008C303E">
        <w:rPr>
          <w:rStyle w:val="lev"/>
          <w:rFonts w:ascii="Adobe Arabic" w:hAnsi="Adobe Arabic" w:cs="Adobe Arabic"/>
          <w:sz w:val="36"/>
          <w:szCs w:val="36"/>
        </w:rPr>
        <w:t xml:space="preserve">Institut </w:t>
      </w:r>
      <w:r w:rsidR="00226868">
        <w:rPr>
          <w:rStyle w:val="lev"/>
          <w:rFonts w:ascii="Adobe Arabic" w:hAnsi="Adobe Arabic" w:cs="Adobe Arabic"/>
          <w:sz w:val="36"/>
          <w:szCs w:val="36"/>
        </w:rPr>
        <w:t>des Hautes Etudes Commerciales</w:t>
      </w:r>
      <w:r w:rsidR="0064685E">
        <w:rPr>
          <w:rStyle w:val="lev"/>
          <w:rFonts w:ascii="Adobe Arabic" w:hAnsi="Adobe Arabic" w:cs="Adobe Arabic"/>
          <w:sz w:val="36"/>
          <w:szCs w:val="36"/>
        </w:rPr>
        <w:t xml:space="preserve"> de Sousse</w:t>
      </w:r>
    </w:p>
    <w:p w:rsidR="00393133" w:rsidRPr="008C303E" w:rsidRDefault="00393133" w:rsidP="00393133">
      <w:pPr>
        <w:spacing w:line="360" w:lineRule="auto"/>
        <w:jc w:val="center"/>
        <w:rPr>
          <w:rStyle w:val="lev"/>
          <w:rFonts w:asciiTheme="majorHAnsi" w:hAnsiTheme="majorHAnsi" w:cstheme="majorBidi"/>
          <w:sz w:val="16"/>
          <w:szCs w:val="16"/>
        </w:rPr>
      </w:pPr>
    </w:p>
    <w:p w:rsidR="00393133" w:rsidRPr="008C303E" w:rsidRDefault="00393133" w:rsidP="00751C75">
      <w:pPr>
        <w:spacing w:line="360" w:lineRule="auto"/>
        <w:jc w:val="center"/>
        <w:rPr>
          <w:rStyle w:val="lev"/>
          <w:rFonts w:asciiTheme="majorHAnsi" w:hAnsiTheme="majorHAnsi" w:cstheme="majorBidi"/>
          <w:color w:val="FF0000"/>
          <w:sz w:val="44"/>
          <w:szCs w:val="44"/>
        </w:rPr>
      </w:pPr>
      <w:r w:rsidRPr="008C303E">
        <w:rPr>
          <w:rStyle w:val="lev"/>
          <w:rFonts w:asciiTheme="majorHAnsi" w:hAnsiTheme="majorHAnsi" w:cstheme="majorBidi"/>
          <w:color w:val="FF0000"/>
          <w:sz w:val="44"/>
          <w:szCs w:val="44"/>
        </w:rPr>
        <w:t>Consultation  N°</w:t>
      </w:r>
      <w:r w:rsidR="00751C75">
        <w:rPr>
          <w:rStyle w:val="lev"/>
          <w:rFonts w:asciiTheme="majorHAnsi" w:hAnsiTheme="majorHAnsi" w:cstheme="majorBidi"/>
          <w:color w:val="FF0000"/>
          <w:sz w:val="44"/>
          <w:szCs w:val="44"/>
        </w:rPr>
        <w:t>47</w:t>
      </w:r>
      <w:r w:rsidRPr="008C303E">
        <w:rPr>
          <w:rStyle w:val="lev"/>
          <w:rFonts w:asciiTheme="majorHAnsi" w:hAnsiTheme="majorHAnsi" w:cstheme="majorBidi"/>
          <w:color w:val="FF0000"/>
          <w:sz w:val="44"/>
          <w:szCs w:val="44"/>
        </w:rPr>
        <w:t xml:space="preserve">/2021 </w:t>
      </w:r>
    </w:p>
    <w:p w:rsidR="00393133" w:rsidRPr="00674230" w:rsidRDefault="00393133" w:rsidP="008C303E">
      <w:pPr>
        <w:shd w:val="clear" w:color="auto" w:fill="DAEEF3" w:themeFill="accent5" w:themeFillTint="33"/>
        <w:jc w:val="center"/>
        <w:rPr>
          <w:rStyle w:val="lev"/>
          <w:rFonts w:ascii="Adobe Arabic" w:hAnsi="Adobe Arabic" w:cs="Adobe Arabic"/>
          <w:bCs w:val="0"/>
          <w:color w:val="403152" w:themeColor="accent4" w:themeShade="80"/>
          <w:sz w:val="44"/>
          <w:szCs w:val="44"/>
        </w:rPr>
      </w:pPr>
      <w:r w:rsidRPr="00674230">
        <w:rPr>
          <w:rStyle w:val="lev"/>
          <w:rFonts w:ascii="Adobe Arabic" w:hAnsi="Adobe Arabic" w:cs="Adobe Arabic"/>
          <w:color w:val="403152" w:themeColor="accent4" w:themeShade="80"/>
          <w:sz w:val="44"/>
          <w:szCs w:val="44"/>
        </w:rPr>
        <w:t>Relative à l’acquisition d’une application de gestion numérique et en ligne des services pédagogiques et administratifs</w:t>
      </w:r>
    </w:p>
    <w:p w:rsidR="00393133" w:rsidRPr="00674230" w:rsidRDefault="0064685E" w:rsidP="0064685E">
      <w:pPr>
        <w:tabs>
          <w:tab w:val="center" w:pos="7938"/>
        </w:tabs>
        <w:jc w:val="both"/>
        <w:rPr>
          <w:rStyle w:val="lev"/>
          <w:rFonts w:ascii="Adobe Arabic" w:hAnsi="Adobe Arabic" w:cs="Adobe Arabic"/>
          <w:b w:val="0"/>
          <w:bCs w:val="0"/>
          <w:sz w:val="36"/>
          <w:szCs w:val="36"/>
        </w:rPr>
      </w:pPr>
      <w:r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 xml:space="preserve">L’Institut </w:t>
      </w:r>
      <w:r w:rsidR="00226868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>des Hautes Etudes Commerciales</w:t>
      </w:r>
      <w:r w:rsidR="00393133" w:rsidRPr="00674230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 xml:space="preserve"> de Sousse lance une consultation relative à l’acquisition d’une application de gestion numérique et en ligne des services pédagogiques et administratifs.</w:t>
      </w:r>
    </w:p>
    <w:p w:rsidR="00393133" w:rsidRPr="00674230" w:rsidRDefault="00393133" w:rsidP="007E3C1B">
      <w:pPr>
        <w:tabs>
          <w:tab w:val="center" w:pos="7938"/>
        </w:tabs>
        <w:jc w:val="both"/>
        <w:rPr>
          <w:rStyle w:val="lev"/>
          <w:rFonts w:ascii="Adobe Arabic" w:hAnsi="Adobe Arabic" w:cs="Adobe Arabic"/>
          <w:b w:val="0"/>
          <w:bCs w:val="0"/>
          <w:sz w:val="36"/>
          <w:szCs w:val="36"/>
        </w:rPr>
      </w:pPr>
      <w:r w:rsidRPr="00674230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 xml:space="preserve">                Les entreprises intéressées par cet</w:t>
      </w:r>
      <w:r w:rsidR="007E3C1B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>te</w:t>
      </w:r>
      <w:r w:rsidRPr="00674230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 xml:space="preserve"> </w:t>
      </w:r>
      <w:r w:rsidR="007E3C1B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>consultation</w:t>
      </w:r>
      <w:r w:rsidRPr="00674230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 xml:space="preserve"> doivent obligatoirement retirer le cahier de</w:t>
      </w:r>
      <w:r w:rsidR="00ED2929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>s</w:t>
      </w:r>
      <w:r w:rsidR="007E3C1B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 xml:space="preserve"> charges au</w:t>
      </w:r>
      <w:r w:rsidRPr="00674230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>pr</w:t>
      </w:r>
      <w:r w:rsidR="00226868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>è</w:t>
      </w:r>
      <w:r w:rsidRPr="00674230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>s du service financier de l’I</w:t>
      </w:r>
      <w:r w:rsidR="00226868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>HEC Sousse</w:t>
      </w:r>
      <w:r w:rsidRPr="00674230">
        <w:rPr>
          <w:rStyle w:val="lev"/>
          <w:rFonts w:ascii="Adobe Arabic" w:hAnsi="Adobe Arabic" w:cs="Adobe Arabic"/>
          <w:b w:val="0"/>
          <w:bCs w:val="0"/>
          <w:sz w:val="36"/>
          <w:szCs w:val="36"/>
        </w:rPr>
        <w:t xml:space="preserve">.  </w:t>
      </w:r>
    </w:p>
    <w:p w:rsidR="00393133" w:rsidRPr="00674230" w:rsidRDefault="00393133" w:rsidP="0064685E">
      <w:pPr>
        <w:tabs>
          <w:tab w:val="center" w:pos="7938"/>
        </w:tabs>
        <w:jc w:val="both"/>
        <w:rPr>
          <w:rFonts w:ascii="Adobe Arabic" w:hAnsi="Adobe Arabic" w:cs="Adobe Arabic"/>
          <w:sz w:val="36"/>
          <w:szCs w:val="36"/>
        </w:rPr>
      </w:pPr>
      <w:r w:rsidRPr="00674230">
        <w:rPr>
          <w:rFonts w:ascii="Adobe Arabic" w:hAnsi="Adobe Arabic" w:cs="Adobe Arabic"/>
          <w:sz w:val="36"/>
          <w:szCs w:val="36"/>
        </w:rPr>
        <w:t xml:space="preserve">                Le dossier de candidature doit parvenir par voie postale (recommandée ou rapide-poste) ou déposé directement au bureau d’ordre de </w:t>
      </w:r>
      <w:r w:rsidRPr="00674230">
        <w:rPr>
          <w:rFonts w:ascii="Adobe Arabic" w:hAnsi="Adobe Arabic" w:cs="Adobe Arabic"/>
          <w:b/>
          <w:bCs/>
          <w:sz w:val="36"/>
          <w:szCs w:val="36"/>
        </w:rPr>
        <w:t xml:space="preserve">l’Institut </w:t>
      </w:r>
      <w:r w:rsidR="00226868">
        <w:rPr>
          <w:rStyle w:val="lev"/>
          <w:rFonts w:ascii="Adobe Arabic" w:hAnsi="Adobe Arabic" w:cs="Adobe Arabic"/>
          <w:sz w:val="36"/>
          <w:szCs w:val="36"/>
        </w:rPr>
        <w:t>des Hautes Etudes Commerciales</w:t>
      </w:r>
      <w:r w:rsidRPr="00674230">
        <w:rPr>
          <w:rFonts w:ascii="Adobe Arabic" w:hAnsi="Adobe Arabic" w:cs="Adobe Arabic"/>
          <w:b/>
          <w:bCs/>
          <w:sz w:val="36"/>
          <w:szCs w:val="36"/>
        </w:rPr>
        <w:t xml:space="preserve"> de Sousse</w:t>
      </w:r>
      <w:r w:rsidRPr="00674230">
        <w:rPr>
          <w:rFonts w:ascii="Adobe Arabic" w:hAnsi="Adobe Arabic" w:cs="Adobe Arabic"/>
          <w:sz w:val="36"/>
          <w:szCs w:val="36"/>
        </w:rPr>
        <w:t xml:space="preserve"> sous plis fermés, à l’adresse suivante, </w:t>
      </w:r>
      <w:r w:rsidR="00226868">
        <w:rPr>
          <w:rFonts w:ascii="Adobe Arabic" w:hAnsi="Adobe Arabic" w:cs="Adobe Arabic"/>
          <w:b/>
          <w:bCs/>
          <w:sz w:val="36"/>
          <w:szCs w:val="36"/>
        </w:rPr>
        <w:t>B.P. 40-Route de la ceinture-Sahloul III-4054</w:t>
      </w:r>
      <w:r w:rsidRPr="00674230">
        <w:rPr>
          <w:rFonts w:ascii="Adobe Arabic" w:hAnsi="Adobe Arabic" w:cs="Adobe Arabic"/>
          <w:b/>
          <w:bCs/>
          <w:sz w:val="36"/>
          <w:szCs w:val="36"/>
        </w:rPr>
        <w:t xml:space="preserve"> Sousse</w:t>
      </w:r>
      <w:r w:rsidRPr="00674230">
        <w:rPr>
          <w:rFonts w:ascii="Adobe Arabic" w:hAnsi="Adobe Arabic" w:cs="Adobe Arabic"/>
          <w:sz w:val="36"/>
          <w:szCs w:val="36"/>
        </w:rPr>
        <w:t>, avec la mention :</w:t>
      </w:r>
    </w:p>
    <w:p w:rsidR="00393133" w:rsidRPr="00674230" w:rsidRDefault="00393133" w:rsidP="008C303E">
      <w:pPr>
        <w:tabs>
          <w:tab w:val="center" w:pos="7938"/>
        </w:tabs>
        <w:spacing w:line="240" w:lineRule="auto"/>
        <w:jc w:val="center"/>
        <w:rPr>
          <w:rStyle w:val="lev"/>
          <w:rFonts w:ascii="Adobe Arabic" w:hAnsi="Adobe Arabic" w:cs="Adobe Arabic"/>
          <w:b w:val="0"/>
          <w:bCs w:val="0"/>
          <w:color w:val="C00000"/>
          <w:sz w:val="36"/>
          <w:szCs w:val="36"/>
        </w:rPr>
      </w:pPr>
      <w:r w:rsidRPr="00674230">
        <w:rPr>
          <w:rFonts w:ascii="Adobe Arabic" w:hAnsi="Adobe Arabic" w:cs="Adobe Arabic"/>
          <w:color w:val="C00000"/>
          <w:sz w:val="36"/>
          <w:szCs w:val="36"/>
        </w:rPr>
        <w:t>« NE PAS OUVRIR-</w:t>
      </w:r>
      <w:r w:rsidRPr="00674230">
        <w:rPr>
          <w:rStyle w:val="lev"/>
          <w:rFonts w:ascii="Adobe Arabic" w:hAnsi="Adobe Arabic" w:cs="Adobe Arabic"/>
          <w:color w:val="C00000"/>
          <w:sz w:val="36"/>
          <w:szCs w:val="36"/>
        </w:rPr>
        <w:t xml:space="preserve"> Acquisition d’une application de gestion numérique et en ligne des services pédagogiques et administratifs</w:t>
      </w:r>
      <w:r w:rsidRPr="00674230">
        <w:rPr>
          <w:rFonts w:ascii="Adobe Arabic" w:hAnsi="Adobe Arabic" w:cs="Adobe Arabic"/>
          <w:color w:val="C00000"/>
          <w:sz w:val="36"/>
          <w:szCs w:val="36"/>
        </w:rPr>
        <w:t>»</w:t>
      </w:r>
    </w:p>
    <w:p w:rsidR="00393133" w:rsidRPr="00674230" w:rsidRDefault="00393133" w:rsidP="007E3C1B">
      <w:pPr>
        <w:shd w:val="clear" w:color="auto" w:fill="DDD9C3" w:themeFill="background2" w:themeFillShade="E6"/>
        <w:jc w:val="both"/>
        <w:rPr>
          <w:rFonts w:ascii="Adobe Arabic" w:hAnsi="Adobe Arabic" w:cs="Adobe Arabic"/>
          <w:b/>
          <w:bCs/>
          <w:color w:val="FF0000"/>
          <w:sz w:val="44"/>
          <w:szCs w:val="44"/>
        </w:rPr>
      </w:pPr>
      <w:r w:rsidRPr="00674230">
        <w:rPr>
          <w:rFonts w:ascii="Adobe Arabic" w:hAnsi="Adobe Arabic" w:cs="Adobe Arabic"/>
          <w:sz w:val="36"/>
          <w:szCs w:val="36"/>
        </w:rPr>
        <w:t>La date limite pour la réception des dossiers est fixée pour le</w:t>
      </w:r>
      <w:r w:rsidR="007E3C1B">
        <w:rPr>
          <w:rFonts w:ascii="Adobe Arabic" w:hAnsi="Adobe Arabic" w:cs="Adobe Arabic"/>
          <w:sz w:val="36"/>
          <w:szCs w:val="36"/>
        </w:rPr>
        <w:t xml:space="preserve">                </w:t>
      </w:r>
      <w:r w:rsidRPr="00674230">
        <w:rPr>
          <w:rFonts w:ascii="Adobe Arabic" w:hAnsi="Adobe Arabic" w:cs="Adobe Arabic"/>
          <w:sz w:val="36"/>
          <w:szCs w:val="36"/>
        </w:rPr>
        <w:t xml:space="preserve"> </w:t>
      </w:r>
      <w:r w:rsidR="007E3C1B">
        <w:rPr>
          <w:rFonts w:ascii="Adobe Arabic" w:hAnsi="Adobe Arabic" w:cs="Adobe Arabic"/>
          <w:b/>
          <w:bCs/>
          <w:color w:val="FF0000"/>
          <w:sz w:val="36"/>
          <w:szCs w:val="36"/>
        </w:rPr>
        <w:t>5</w:t>
      </w:r>
      <w:r w:rsidR="00674230" w:rsidRPr="00674230">
        <w:rPr>
          <w:rFonts w:ascii="Adobe Arabic" w:hAnsi="Adobe Arabic" w:cs="Adobe Arabic"/>
          <w:b/>
          <w:bCs/>
          <w:color w:val="FF0000"/>
          <w:sz w:val="36"/>
          <w:szCs w:val="36"/>
        </w:rPr>
        <w:t xml:space="preserve"> </w:t>
      </w:r>
      <w:r w:rsidR="007E3C1B">
        <w:rPr>
          <w:rFonts w:ascii="Adobe Arabic" w:hAnsi="Adobe Arabic" w:cs="Adobe Arabic"/>
          <w:b/>
          <w:bCs/>
          <w:color w:val="FF0000"/>
          <w:sz w:val="36"/>
          <w:szCs w:val="36"/>
        </w:rPr>
        <w:t>Novembre</w:t>
      </w:r>
      <w:r w:rsidRPr="00674230">
        <w:rPr>
          <w:rFonts w:ascii="Adobe Arabic" w:hAnsi="Adobe Arabic" w:cs="Adobe Arabic"/>
          <w:b/>
          <w:bCs/>
          <w:color w:val="FF0000"/>
          <w:sz w:val="36"/>
          <w:szCs w:val="36"/>
        </w:rPr>
        <w:t xml:space="preserve"> 2021</w:t>
      </w:r>
      <w:r w:rsidRPr="00674230">
        <w:rPr>
          <w:rFonts w:ascii="Adobe Arabic" w:hAnsi="Adobe Arabic" w:cs="Adobe Arabic"/>
          <w:color w:val="FF0000"/>
          <w:sz w:val="36"/>
          <w:szCs w:val="36"/>
        </w:rPr>
        <w:t xml:space="preserve">, </w:t>
      </w:r>
      <w:r w:rsidRPr="00674230">
        <w:rPr>
          <w:rFonts w:ascii="Adobe Arabic" w:hAnsi="Adobe Arabic" w:cs="Adobe Arabic"/>
          <w:b/>
          <w:bCs/>
          <w:color w:val="FF0000"/>
          <w:sz w:val="36"/>
          <w:szCs w:val="36"/>
          <w:u w:val="single"/>
        </w:rPr>
        <w:t>le cachet du bureau d’ordre de l’</w:t>
      </w:r>
      <w:r w:rsidR="00226868">
        <w:rPr>
          <w:rFonts w:ascii="Adobe Arabic" w:hAnsi="Adobe Arabic" w:cs="Adobe Arabic"/>
          <w:b/>
          <w:bCs/>
          <w:color w:val="FF0000"/>
          <w:sz w:val="36"/>
          <w:szCs w:val="36"/>
          <w:u w:val="single"/>
        </w:rPr>
        <w:t xml:space="preserve">IHEC </w:t>
      </w:r>
      <w:r w:rsidR="00674230" w:rsidRPr="00674230">
        <w:rPr>
          <w:rFonts w:ascii="Adobe Arabic" w:hAnsi="Adobe Arabic" w:cs="Adobe Arabic"/>
          <w:b/>
          <w:bCs/>
          <w:color w:val="FF0000"/>
          <w:sz w:val="36"/>
          <w:szCs w:val="36"/>
          <w:u w:val="single"/>
        </w:rPr>
        <w:t>S</w:t>
      </w:r>
      <w:r w:rsidR="00226868">
        <w:rPr>
          <w:rFonts w:ascii="Adobe Arabic" w:hAnsi="Adobe Arabic" w:cs="Adobe Arabic"/>
          <w:b/>
          <w:bCs/>
          <w:color w:val="FF0000"/>
          <w:sz w:val="36"/>
          <w:szCs w:val="36"/>
          <w:u w:val="single"/>
        </w:rPr>
        <w:t>ousse</w:t>
      </w:r>
      <w:r w:rsidRPr="00674230">
        <w:rPr>
          <w:rFonts w:ascii="Adobe Arabic" w:hAnsi="Adobe Arabic" w:cs="Adobe Arabic"/>
          <w:b/>
          <w:bCs/>
          <w:color w:val="FF0000"/>
          <w:sz w:val="36"/>
          <w:szCs w:val="36"/>
          <w:u w:val="single"/>
        </w:rPr>
        <w:t xml:space="preserve"> faisant foi</w:t>
      </w:r>
      <w:r w:rsidRPr="00674230">
        <w:rPr>
          <w:rFonts w:ascii="Adobe Arabic" w:hAnsi="Adobe Arabic" w:cs="Adobe Arabic"/>
          <w:color w:val="FF0000"/>
          <w:sz w:val="36"/>
          <w:szCs w:val="36"/>
        </w:rPr>
        <w:t>.</w:t>
      </w:r>
    </w:p>
    <w:p w:rsidR="00637852" w:rsidRPr="00674230" w:rsidRDefault="00674230" w:rsidP="00674230">
      <w:pPr>
        <w:tabs>
          <w:tab w:val="left" w:pos="2664"/>
        </w:tabs>
        <w:jc w:val="both"/>
        <w:rPr>
          <w:rFonts w:ascii="Adobe Arabic" w:hAnsi="Adobe Arabic" w:cs="Adobe Arabic"/>
          <w:b/>
          <w:bCs/>
          <w:sz w:val="44"/>
          <w:szCs w:val="44"/>
        </w:rPr>
      </w:pPr>
      <w:r>
        <w:rPr>
          <w:rFonts w:ascii="Adobe Arabic" w:hAnsi="Adobe Arabic" w:cs="Adobe Arabic"/>
          <w:b/>
          <w:bCs/>
          <w:sz w:val="44"/>
          <w:szCs w:val="44"/>
        </w:rPr>
        <w:tab/>
      </w:r>
    </w:p>
    <w:sectPr w:rsidR="00637852" w:rsidRPr="00674230" w:rsidSect="00CD7E6F">
      <w:pgSz w:w="11906" w:h="16838"/>
      <w:pgMar w:top="668" w:right="707" w:bottom="709" w:left="851" w:header="0" w:footer="708" w:gutter="0"/>
      <w:pgBorders w:offsetFrom="page">
        <w:top w:val="single" w:sz="18" w:space="24" w:color="632423" w:themeColor="accent2" w:themeShade="80"/>
        <w:left w:val="single" w:sz="18" w:space="24" w:color="632423" w:themeColor="accent2" w:themeShade="80"/>
        <w:bottom w:val="single" w:sz="18" w:space="24" w:color="632423" w:themeColor="accent2" w:themeShade="80"/>
        <w:right w:val="single" w:sz="18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3D" w:rsidRDefault="00D54D3D" w:rsidP="00D104FD">
      <w:pPr>
        <w:spacing w:after="0" w:line="240" w:lineRule="auto"/>
      </w:pPr>
      <w:r>
        <w:separator/>
      </w:r>
    </w:p>
  </w:endnote>
  <w:endnote w:type="continuationSeparator" w:id="1">
    <w:p w:rsidR="00D54D3D" w:rsidRDefault="00D54D3D" w:rsidP="00D1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3D" w:rsidRDefault="00D54D3D" w:rsidP="00D104FD">
      <w:pPr>
        <w:spacing w:after="0" w:line="240" w:lineRule="auto"/>
      </w:pPr>
      <w:r>
        <w:separator/>
      </w:r>
    </w:p>
  </w:footnote>
  <w:footnote w:type="continuationSeparator" w:id="1">
    <w:p w:rsidR="00D54D3D" w:rsidRDefault="00D54D3D" w:rsidP="00D10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AA7"/>
    <w:rsid w:val="00076C39"/>
    <w:rsid w:val="00134680"/>
    <w:rsid w:val="001A031B"/>
    <w:rsid w:val="00226868"/>
    <w:rsid w:val="00234C71"/>
    <w:rsid w:val="002B109A"/>
    <w:rsid w:val="002F56A8"/>
    <w:rsid w:val="003141D6"/>
    <w:rsid w:val="00393133"/>
    <w:rsid w:val="003C5812"/>
    <w:rsid w:val="00441437"/>
    <w:rsid w:val="00444EB5"/>
    <w:rsid w:val="0044664A"/>
    <w:rsid w:val="0052562B"/>
    <w:rsid w:val="00546974"/>
    <w:rsid w:val="0061337C"/>
    <w:rsid w:val="00620D85"/>
    <w:rsid w:val="00637852"/>
    <w:rsid w:val="0064685E"/>
    <w:rsid w:val="00671BD1"/>
    <w:rsid w:val="00674230"/>
    <w:rsid w:val="007022DF"/>
    <w:rsid w:val="00751C75"/>
    <w:rsid w:val="007822D5"/>
    <w:rsid w:val="007E3C1B"/>
    <w:rsid w:val="00846F8B"/>
    <w:rsid w:val="008C303E"/>
    <w:rsid w:val="00913342"/>
    <w:rsid w:val="009C4A37"/>
    <w:rsid w:val="009F4B7C"/>
    <w:rsid w:val="00A24499"/>
    <w:rsid w:val="00AA2697"/>
    <w:rsid w:val="00B11726"/>
    <w:rsid w:val="00B45D2E"/>
    <w:rsid w:val="00B54B0C"/>
    <w:rsid w:val="00B86861"/>
    <w:rsid w:val="00B92754"/>
    <w:rsid w:val="00BB6129"/>
    <w:rsid w:val="00BE75BF"/>
    <w:rsid w:val="00C075A9"/>
    <w:rsid w:val="00C30113"/>
    <w:rsid w:val="00C44BA2"/>
    <w:rsid w:val="00C70AA7"/>
    <w:rsid w:val="00CD7E6F"/>
    <w:rsid w:val="00D104FD"/>
    <w:rsid w:val="00D17264"/>
    <w:rsid w:val="00D54D3D"/>
    <w:rsid w:val="00E61FE0"/>
    <w:rsid w:val="00EA76B4"/>
    <w:rsid w:val="00ED2929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70AA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10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4FD"/>
  </w:style>
  <w:style w:type="paragraph" w:styleId="Pieddepage">
    <w:name w:val="footer"/>
    <w:basedOn w:val="Normal"/>
    <w:link w:val="PieddepageCar"/>
    <w:uiPriority w:val="99"/>
    <w:unhideWhenUsed/>
    <w:rsid w:val="00D10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43BF-B972-4215-89CC-870BA17D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pcFN</dc:creator>
  <cp:lastModifiedBy>USER</cp:lastModifiedBy>
  <cp:revision>7</cp:revision>
  <cp:lastPrinted>2021-09-28T14:27:00Z</cp:lastPrinted>
  <dcterms:created xsi:type="dcterms:W3CDTF">2021-10-19T07:50:00Z</dcterms:created>
  <dcterms:modified xsi:type="dcterms:W3CDTF">2021-10-20T10:49:00Z</dcterms:modified>
</cp:coreProperties>
</file>